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028A" w14:textId="1D4780F5" w:rsidR="00583DE0" w:rsidRDefault="00E04351">
      <w:pPr>
        <w:pStyle w:val="Vchodzie"/>
        <w:tabs>
          <w:tab w:val="left" w:pos="206"/>
        </w:tabs>
        <w:ind w:left="-5"/>
        <w:jc w:val="center"/>
        <w:rPr>
          <w:rFonts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hAnsi="Arial"/>
          <w:b/>
          <w:bCs/>
          <w:sz w:val="32"/>
          <w:szCs w:val="32"/>
        </w:rPr>
        <w:t>KALDOREAL 1</w:t>
      </w:r>
      <w:r w:rsidR="007654D0">
        <w:rPr>
          <w:rFonts w:hAnsi="Arial"/>
          <w:b/>
          <w:bCs/>
          <w:sz w:val="32"/>
          <w:szCs w:val="32"/>
        </w:rPr>
        <w:t xml:space="preserve">, </w:t>
      </w:r>
      <w:proofErr w:type="spellStart"/>
      <w:r w:rsidR="007654D0">
        <w:rPr>
          <w:rFonts w:hAnsi="Arial"/>
          <w:b/>
          <w:bCs/>
          <w:sz w:val="32"/>
          <w:szCs w:val="32"/>
        </w:rPr>
        <w:t>s.r.o</w:t>
      </w:r>
      <w:proofErr w:type="spellEnd"/>
      <w:r w:rsidR="007654D0">
        <w:rPr>
          <w:rFonts w:hAnsi="Arial"/>
          <w:b/>
          <w:bCs/>
          <w:sz w:val="32"/>
          <w:szCs w:val="32"/>
        </w:rPr>
        <w:t>.</w:t>
      </w:r>
    </w:p>
    <w:p w14:paraId="5A6550A8" w14:textId="77777777" w:rsidR="00AB08F9" w:rsidRDefault="00AB08F9">
      <w:pPr>
        <w:pStyle w:val="Vchodzie"/>
        <w:tabs>
          <w:tab w:val="left" w:pos="206"/>
        </w:tabs>
        <w:ind w:left="-5"/>
        <w:jc w:val="center"/>
        <w:rPr>
          <w:rFonts w:cs="Times New Roman"/>
          <w:szCs w:val="24"/>
        </w:rPr>
      </w:pPr>
    </w:p>
    <w:p w14:paraId="7BD425DA" w14:textId="77777777" w:rsidR="000958D3" w:rsidRPr="00445962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hAnsi="Arial"/>
          <w:szCs w:val="24"/>
        </w:rPr>
      </w:pPr>
      <w:r w:rsidRPr="00445962">
        <w:rPr>
          <w:rFonts w:hAnsi="Arial"/>
          <w:b/>
          <w:color w:val="004586"/>
          <w:sz w:val="32"/>
          <w:szCs w:val="24"/>
        </w:rPr>
        <w:t>Informácie poskytované dotknutým osobám,</w:t>
      </w:r>
    </w:p>
    <w:p w14:paraId="14BD20D2" w14:textId="77777777" w:rsidR="000958D3" w:rsidRPr="00445962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hAnsi="Arial"/>
          <w:szCs w:val="24"/>
        </w:rPr>
      </w:pPr>
      <w:r w:rsidRPr="00445962">
        <w:rPr>
          <w:rFonts w:hAnsi="Arial"/>
          <w:b/>
          <w:color w:val="004586"/>
          <w:sz w:val="32"/>
          <w:szCs w:val="24"/>
        </w:rPr>
        <w:t>ak osobné údaje neboli získané od dotknutej osoby</w:t>
      </w:r>
    </w:p>
    <w:p w14:paraId="36A0DF3F" w14:textId="77777777" w:rsidR="000958D3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cs="Times New Roman"/>
          <w:szCs w:val="24"/>
        </w:rPr>
      </w:pPr>
    </w:p>
    <w:p w14:paraId="54A14E40" w14:textId="77777777" w:rsidR="000958D3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cs="Times New Roman"/>
          <w:szCs w:val="24"/>
        </w:rPr>
      </w:pPr>
      <w:r>
        <w:rPr>
          <w:rFonts w:cs="Times New Roman"/>
          <w:color w:val="004586"/>
          <w:sz w:val="24"/>
          <w:szCs w:val="24"/>
        </w:rPr>
        <w:t>pod</w:t>
      </w:r>
      <w:r>
        <w:rPr>
          <w:rFonts w:cs="Times New Roman"/>
          <w:color w:val="004586"/>
          <w:sz w:val="24"/>
          <w:szCs w:val="24"/>
        </w:rPr>
        <w:t>ľ</w:t>
      </w:r>
      <w:r>
        <w:rPr>
          <w:rFonts w:cs="Times New Roman"/>
          <w:color w:val="004586"/>
          <w:sz w:val="24"/>
          <w:szCs w:val="24"/>
        </w:rPr>
        <w:t xml:space="preserve">a </w:t>
      </w:r>
      <w:r>
        <w:rPr>
          <w:rFonts w:cs="Times New Roman"/>
          <w:color w:val="004586"/>
          <w:sz w:val="24"/>
          <w:szCs w:val="24"/>
        </w:rPr>
        <w:t>č</w:t>
      </w:r>
      <w:r>
        <w:rPr>
          <w:rFonts w:cs="Times New Roman"/>
          <w:color w:val="004586"/>
          <w:sz w:val="24"/>
          <w:szCs w:val="24"/>
        </w:rPr>
        <w:t>l. 14 Nariadenia GDPR</w:t>
      </w:r>
    </w:p>
    <w:p w14:paraId="4B43C956" w14:textId="77777777" w:rsidR="000958D3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cs="Times New Roman"/>
          <w:szCs w:val="24"/>
        </w:rPr>
      </w:pPr>
    </w:p>
    <w:p w14:paraId="028FCB27" w14:textId="72226A77" w:rsidR="000958D3" w:rsidRPr="00DA51AF" w:rsidRDefault="000958D3" w:rsidP="00DA51AF">
      <w:pPr>
        <w:rPr>
          <w:rFonts w:ascii="Arial" w:hAnsi="Arial" w:cs="Arial"/>
          <w:sz w:val="20"/>
        </w:rPr>
      </w:pPr>
      <w:r w:rsidRPr="00DA51AF">
        <w:rPr>
          <w:rFonts w:ascii="Arial" w:hAnsi="Arial" w:cs="Arial"/>
          <w:b/>
          <w:sz w:val="20"/>
        </w:rPr>
        <w:t>Okruhy dotknutých osôb</w:t>
      </w:r>
      <w:r w:rsidRPr="00DA51AF">
        <w:rPr>
          <w:rFonts w:ascii="Arial" w:hAnsi="Arial" w:cs="Arial"/>
          <w:sz w:val="20"/>
        </w:rPr>
        <w:t>: zákazníci prevádzkovateľa, zmluvní partneri prevádzkovateľa</w:t>
      </w:r>
    </w:p>
    <w:p w14:paraId="617141A7" w14:textId="1A244ED4" w:rsidR="000958D3" w:rsidRDefault="000958D3" w:rsidP="00F769AB">
      <w:pPr>
        <w:pStyle w:val="Vchodzie"/>
        <w:tabs>
          <w:tab w:val="left" w:pos="206"/>
        </w:tabs>
        <w:spacing w:before="112" w:after="0"/>
        <w:ind w:left="-5"/>
        <w:rPr>
          <w:rFonts w:cs="Times New Roman"/>
          <w:szCs w:val="24"/>
        </w:rPr>
      </w:pPr>
      <w:r>
        <w:rPr>
          <w:rFonts w:hAnsi="Arial" w:cs="Times New Roman"/>
          <w:szCs w:val="24"/>
        </w:rPr>
        <w:t xml:space="preserve">Prevádzkovateľ </w:t>
      </w:r>
      <w:r w:rsidR="00E04351">
        <w:rPr>
          <w:rFonts w:hAnsi="Arial" w:cs="Times New Roman"/>
          <w:szCs w:val="24"/>
        </w:rPr>
        <w:t>KALDOREAL 1</w:t>
      </w:r>
      <w:r w:rsidR="007654D0">
        <w:rPr>
          <w:rFonts w:hAnsi="Arial" w:cs="Times New Roman"/>
          <w:szCs w:val="24"/>
        </w:rPr>
        <w:t xml:space="preserve">, </w:t>
      </w:r>
      <w:proofErr w:type="spellStart"/>
      <w:r w:rsidR="007654D0">
        <w:rPr>
          <w:rFonts w:hAnsi="Arial" w:cs="Times New Roman"/>
          <w:szCs w:val="24"/>
        </w:rPr>
        <w:t>s.r.o</w:t>
      </w:r>
      <w:proofErr w:type="spellEnd"/>
      <w:r w:rsidR="007654D0">
        <w:rPr>
          <w:rFonts w:hAnsi="Arial" w:cs="Times New Roman"/>
          <w:szCs w:val="24"/>
        </w:rPr>
        <w:t>.</w:t>
      </w:r>
      <w:r w:rsidR="00583DE0" w:rsidRPr="00583DE0">
        <w:rPr>
          <w:rFonts w:hAnsi="Arial" w:cs="Times New Roman"/>
          <w:szCs w:val="24"/>
        </w:rPr>
        <w:t>.</w:t>
      </w:r>
      <w:r>
        <w:rPr>
          <w:rFonts w:hAnsi="Arial" w:cs="Times New Roman"/>
          <w:szCs w:val="24"/>
        </w:rPr>
        <w:t xml:space="preserve"> vykonáva spracúvanie osobných údajov fyzických osôb v  týchto spracovateľských činnostiach:</w:t>
      </w:r>
    </w:p>
    <w:p w14:paraId="50F07D22" w14:textId="77777777" w:rsidR="000958D3" w:rsidRPr="00583DE0" w:rsidRDefault="000958D3" w:rsidP="00583DE0">
      <w:pPr>
        <w:spacing w:after="0"/>
        <w:rPr>
          <w:rFonts w:ascii="Arial" w:hAnsi="Arial" w:cs="Arial"/>
          <w:sz w:val="20"/>
          <w:szCs w:val="20"/>
        </w:rPr>
      </w:pPr>
      <w:r w:rsidRPr="00583DE0">
        <w:rPr>
          <w:rFonts w:ascii="Arial" w:hAnsi="Arial" w:cs="Arial"/>
          <w:sz w:val="20"/>
          <w:szCs w:val="20"/>
        </w:rPr>
        <w:t>Evidencia zmluvných partnerov,</w:t>
      </w:r>
    </w:p>
    <w:p w14:paraId="796078C9" w14:textId="644BE9E2" w:rsidR="000958D3" w:rsidRDefault="00583DE0" w:rsidP="00583D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Žiadosti dotknutých osôb</w:t>
      </w:r>
    </w:p>
    <w:p w14:paraId="63F6AD81" w14:textId="77777777" w:rsidR="00903CE3" w:rsidRPr="00903CE3" w:rsidRDefault="00903CE3" w:rsidP="00903CE3">
      <w:pPr>
        <w:spacing w:after="0"/>
        <w:rPr>
          <w:rFonts w:ascii="Arial" w:hAnsi="Arial" w:cs="Arial"/>
          <w:sz w:val="20"/>
          <w:szCs w:val="20"/>
        </w:rPr>
      </w:pPr>
      <w:r w:rsidRPr="00903CE3">
        <w:rPr>
          <w:rFonts w:ascii="Arial" w:hAnsi="Arial" w:cs="Arial"/>
          <w:sz w:val="20"/>
          <w:szCs w:val="20"/>
        </w:rPr>
        <w:t>Evidencia zákazníkov pre účely sprostredkovanie kúpy, predaja a prenájmu nehnuteľností</w:t>
      </w:r>
    </w:p>
    <w:p w14:paraId="0506AA90" w14:textId="77777777" w:rsidR="00583DE0" w:rsidRPr="00583DE0" w:rsidRDefault="00583DE0" w:rsidP="00583DE0">
      <w:pPr>
        <w:spacing w:after="0"/>
        <w:rPr>
          <w:rFonts w:ascii="Arial" w:hAnsi="Arial" w:cs="Arial"/>
          <w:sz w:val="20"/>
          <w:szCs w:val="20"/>
        </w:rPr>
      </w:pPr>
    </w:p>
    <w:p w14:paraId="6BCA0D62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Prevádzkovateľ zaručuje ochranu spracúvaných osobných údajov špecificky navrhnutými opatreniami. Žiadne spracúvané osobné údaje sa neprenášajú do krajín, ktoré nezabezpečujú primeranú úroveň ich ochrany. Žiadne spracúvané osobné údaje sa nezverejňujú.</w:t>
      </w:r>
    </w:p>
    <w:p w14:paraId="417055D9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Zástupca prevádzkovateľa nebol určený. Zodpovedná osoba za dohľad nad ochranou osobných údajov nebola menovaná.</w:t>
      </w:r>
    </w:p>
    <w:p w14:paraId="0D9A3961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Dozorným orgánom je Úrad na ochranu osobných údajov SR, Hraničná 12, Bratislava.</w:t>
      </w:r>
    </w:p>
    <w:p w14:paraId="70980604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Účely spracúvania osobných údajov v jednotlivých spracovateľských činnostiach, kategórie dotknutých osobných údajov, príjemcovia alebo kategórie príjemcov osobných údajov, podmienky zverejňovania a registratúrne, prípadne retenčné lehoty spracúvaných osobných údajov sú popísané v prílohe tejto informácie.</w:t>
      </w:r>
    </w:p>
    <w:p w14:paraId="132BC81C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Dotknutá osoba je povinná poskytnúť prevádzkovateľovi údaje, ktoré je prevádzkovateľ povinný spracúvať na základe osobitných zákonov.</w:t>
      </w:r>
    </w:p>
    <w:p w14:paraId="11A88901" w14:textId="388D5052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hAnsi="Arial" w:cs="Times New Roman"/>
          <w:szCs w:val="24"/>
        </w:rPr>
      </w:pPr>
      <w:r>
        <w:rPr>
          <w:rFonts w:hAnsi="Arial" w:cs="Times New Roman"/>
          <w:szCs w:val="24"/>
        </w:rPr>
        <w:t>Dotknutá osoba nie je povinná poskytnúť prevádzkovateľovi údaje, ktoré sú potrebné pre zmluvné rokovanie a pre realizáciu zmluvy; bez poskytnutia týchto údajov nemôže príslušná zmluva vzniknúť.</w:t>
      </w:r>
    </w:p>
    <w:p w14:paraId="219D8086" w14:textId="77777777" w:rsidR="00434C25" w:rsidRPr="00434C25" w:rsidRDefault="00434C25" w:rsidP="00434C25">
      <w:pPr>
        <w:pStyle w:val="Vchodzie"/>
        <w:spacing w:after="0"/>
        <w:rPr>
          <w:rFonts w:hAnsi="Arial"/>
          <w:szCs w:val="24"/>
        </w:rPr>
      </w:pPr>
      <w:r w:rsidRPr="00434C25">
        <w:rPr>
          <w:rFonts w:hAnsi="Arial"/>
          <w:iCs/>
          <w:szCs w:val="24"/>
        </w:rPr>
        <w:t xml:space="preserve">Zdrojom údajov je, pokiaľ nie je uvedené inak, dotknutá osoba, ktorá poskytla svoje osobné údaje prevádzkovateľovi </w:t>
      </w:r>
      <w:r w:rsidRPr="00434C25">
        <w:rPr>
          <w:rFonts w:hAnsi="Arial"/>
          <w:szCs w:val="24"/>
        </w:rPr>
        <w:t>alebo zamestnávateľ dotknutej osoby, ktorý poskytol jej osobné údaje prevádzkovateľovi.</w:t>
      </w:r>
    </w:p>
    <w:p w14:paraId="204F24DF" w14:textId="77777777" w:rsidR="00434C25" w:rsidRDefault="00434C25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</w:p>
    <w:p w14:paraId="099CB300" w14:textId="77777777" w:rsidR="000958D3" w:rsidRPr="00DA51AF" w:rsidRDefault="000958D3" w:rsidP="00DA51AF">
      <w:p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Dotknutá osoba je oprávnená:</w:t>
      </w:r>
    </w:p>
    <w:p w14:paraId="5B8BACFD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prístup k osobným údajom týkajúcim sa dotknutej osoby,</w:t>
      </w:r>
    </w:p>
    <w:p w14:paraId="18784346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osobné údaje, ktoré sa jej týkajú a ktoré poskytla prevádzkovateľovi, v štruktúrovanom, bežne používanom a strojovo čitateľnom formáte na účel prenosu k inému zmluvnému partnerovi (iba zákazníci a zmluvní partneri, ktorí sú fyzickými osobami),</w:t>
      </w:r>
    </w:p>
    <w:p w14:paraId="58B99458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opravu spracúvaných osobných údajov,</w:t>
      </w:r>
    </w:p>
    <w:p w14:paraId="627CCB7C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vymazanie spracúvaných osobných údajov,</w:t>
      </w:r>
    </w:p>
    <w:p w14:paraId="689733E1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obmedzenie spracúvania a namietať proti spracúvaniu, ak právnym základom nie je zákonná povinnosť prevádzkovateľa spracúvať osobné údaje,</w:t>
      </w:r>
    </w:p>
    <w:p w14:paraId="0BAE24CB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právo podať sťažnosť dozornému orgánu,</w:t>
      </w:r>
    </w:p>
    <w:p w14:paraId="32C6425C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informáciu, z akého zdroja pochádzajú osobné údaje, prípadne informácie o tom, či údaje pochádzajú z verejne prístupných zdrojov.</w:t>
      </w:r>
    </w:p>
    <w:p w14:paraId="7AEC8940" w14:textId="77777777" w:rsidR="000958D3" w:rsidRPr="00DA51AF" w:rsidRDefault="000958D3" w:rsidP="00DA51AF">
      <w:p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Právo dotknutej osoby na odvolanie súhlasu nie je možné v popisovaných spracovateľských činnostiach uplatniť, pretože súhlas dotknutej osoby nie je ich právnym základom.</w:t>
      </w:r>
    </w:p>
    <w:p w14:paraId="5F5A678A" w14:textId="77777777" w:rsidR="000958D3" w:rsidRDefault="000958D3" w:rsidP="00DA51AF">
      <w:p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Právo dotknutej osoby namietať voči automatizovanému rozhodovaniu nie je možné v popisovaných súboroch spracovateľských činností uplatniť, pretože popisované činnosti spracúvania neobsahujú automatizované rozhodovanie.</w:t>
      </w:r>
    </w:p>
    <w:p w14:paraId="2A430CC0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694CDFA3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452C71C4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55154837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2C8041EB" w14:textId="77777777" w:rsidR="00D47B7F" w:rsidRDefault="00D47B7F" w:rsidP="00DA51AF">
      <w:pPr>
        <w:spacing w:after="0"/>
        <w:rPr>
          <w:rFonts w:ascii="Arial" w:hAnsi="Arial" w:cs="Arial"/>
          <w:sz w:val="20"/>
          <w:szCs w:val="20"/>
        </w:rPr>
      </w:pPr>
    </w:p>
    <w:p w14:paraId="4F6DA957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3D0647B2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34F95061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5B8D7579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5CE093CC" w14:textId="77777777" w:rsidR="00D47B7F" w:rsidRDefault="00D47B7F" w:rsidP="00DA51AF">
      <w:pPr>
        <w:spacing w:after="0"/>
        <w:rPr>
          <w:rFonts w:ascii="Arial" w:hAnsi="Arial" w:cs="Arial"/>
          <w:sz w:val="20"/>
          <w:szCs w:val="20"/>
        </w:rPr>
      </w:pPr>
    </w:p>
    <w:p w14:paraId="2E92E814" w14:textId="77777777" w:rsidR="00D47B7F" w:rsidRDefault="00D47B7F" w:rsidP="00DA51AF">
      <w:pPr>
        <w:spacing w:after="0"/>
        <w:rPr>
          <w:rFonts w:ascii="Arial" w:hAnsi="Arial" w:cs="Arial"/>
          <w:sz w:val="20"/>
          <w:szCs w:val="20"/>
        </w:rPr>
      </w:pPr>
    </w:p>
    <w:p w14:paraId="54DE217A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58328B86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5"/>
        <w:gridCol w:w="7084"/>
      </w:tblGrid>
      <w:tr w:rsidR="00EB42A7" w:rsidRPr="008A2EC8" w14:paraId="23036796" w14:textId="77777777" w:rsidTr="00BE38EE">
        <w:trPr>
          <w:trHeight w:val="405"/>
          <w:tblCellSpacing w:w="0" w:type="dxa"/>
        </w:trPr>
        <w:tc>
          <w:tcPr>
            <w:tcW w:w="10206" w:type="dxa"/>
            <w:gridSpan w:val="3"/>
            <w:hideMark/>
          </w:tcPr>
          <w:p w14:paraId="261F8A25" w14:textId="1E98369F" w:rsidR="00EB42A7" w:rsidRPr="008A2EC8" w:rsidRDefault="00E04351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KALDOREAL 1</w:t>
            </w:r>
            <w:r w:rsidR="007654D0"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 xml:space="preserve">, </w:t>
            </w:r>
            <w:proofErr w:type="spellStart"/>
            <w:r w:rsidR="007654D0"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s.r.o</w:t>
            </w:r>
            <w:proofErr w:type="spellEnd"/>
            <w:r w:rsidR="007654D0"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.</w:t>
            </w:r>
          </w:p>
        </w:tc>
      </w:tr>
      <w:tr w:rsidR="00EB42A7" w:rsidRPr="008A2EC8" w14:paraId="0ED8F4A8" w14:textId="77777777" w:rsidTr="00022387">
        <w:trPr>
          <w:trHeight w:val="255"/>
          <w:tblCellSpacing w:w="0" w:type="dxa"/>
        </w:trPr>
        <w:tc>
          <w:tcPr>
            <w:tcW w:w="0" w:type="auto"/>
            <w:gridSpan w:val="3"/>
            <w:hideMark/>
          </w:tcPr>
          <w:p w14:paraId="54A9BD88" w14:textId="77777777" w:rsidR="00EB42A7" w:rsidRPr="008A2EC8" w:rsidRDefault="00EB42A7" w:rsidP="000223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8A2EC8" w14:paraId="7ADFDB64" w14:textId="77777777" w:rsidTr="00022387">
        <w:trPr>
          <w:trHeight w:val="750"/>
          <w:tblCellSpacing w:w="0" w:type="dxa"/>
        </w:trPr>
        <w:tc>
          <w:tcPr>
            <w:tcW w:w="0" w:type="auto"/>
            <w:gridSpan w:val="3"/>
            <w:hideMark/>
          </w:tcPr>
          <w:p w14:paraId="342E9A3D" w14:textId="77777777" w:rsidR="00EB42A7" w:rsidRPr="008A2EC8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t>Príloha informácie poskytovanej dotknutým osobám,</w:t>
            </w: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br/>
              <w:t>ak osobné údaje neboli získané od dotknutej osoby</w:t>
            </w:r>
          </w:p>
        </w:tc>
      </w:tr>
      <w:tr w:rsidR="00EB42A7" w:rsidRPr="008A2EC8" w14:paraId="3E343D04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hideMark/>
          </w:tcPr>
          <w:p w14:paraId="78F0853C" w14:textId="77777777" w:rsidR="00EB42A7" w:rsidRPr="008A2EC8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4586"/>
                <w:sz w:val="24"/>
                <w:szCs w:val="24"/>
              </w:rPr>
              <w:t>podľa čl. 14 Nariadenia GDPR</w:t>
            </w:r>
          </w:p>
        </w:tc>
      </w:tr>
      <w:tr w:rsidR="00EB42A7" w:rsidRPr="008A2EC8" w14:paraId="5A392DFC" w14:textId="77777777" w:rsidTr="00022387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7515A3C8" w14:textId="77777777" w:rsidR="00EB42A7" w:rsidRPr="008A2EC8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8A2EC8" w14:paraId="2159F516" w14:textId="77777777" w:rsidTr="00022387">
        <w:trPr>
          <w:trHeight w:val="285"/>
          <w:tblCellSpacing w:w="0" w:type="dxa"/>
        </w:trPr>
        <w:tc>
          <w:tcPr>
            <w:tcW w:w="0" w:type="auto"/>
            <w:gridSpan w:val="3"/>
            <w:hideMark/>
          </w:tcPr>
          <w:p w14:paraId="5EA5FFF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>Okruh dotknutých osôb: zmluvní partneri prevádzkovateľa</w:t>
            </w:r>
          </w:p>
        </w:tc>
      </w:tr>
      <w:tr w:rsidR="00EB42A7" w:rsidRPr="008A2EC8" w14:paraId="2B5D36AF" w14:textId="77777777" w:rsidTr="00022387">
        <w:trPr>
          <w:trHeight w:val="285"/>
          <w:tblCellSpacing w:w="0" w:type="dxa"/>
        </w:trPr>
        <w:tc>
          <w:tcPr>
            <w:tcW w:w="0" w:type="auto"/>
          </w:tcPr>
          <w:p w14:paraId="131C099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A97D7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3FF9C1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8A2EC8" w14:paraId="68EC66AF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79BA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Evidencia zmluvných partnerov</w:t>
            </w:r>
          </w:p>
        </w:tc>
      </w:tr>
      <w:tr w:rsidR="00EB42A7" w:rsidRPr="008A2EC8" w14:paraId="6109D33A" w14:textId="77777777" w:rsidTr="0057785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C26C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 spracúvania osobných údajov a oprávnený záujem prevádzkovateľa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9A7DE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Evidencia zmluvných partnerov (samostatne zárobkovo činných osôb) okrem zákazníkov a fyzických osôb konajúcich v mene zmluvných partnerov (právnické osoby) okrem zákazníkov.</w:t>
            </w:r>
          </w:p>
        </w:tc>
      </w:tr>
      <w:tr w:rsidR="0076023D" w:rsidRPr="008A2EC8" w14:paraId="7B8F8D66" w14:textId="77777777" w:rsidTr="0057785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94145" w14:textId="77777777" w:rsidR="0076023D" w:rsidRDefault="0076023D" w:rsidP="0076023D">
            <w:pPr>
              <w:rPr>
                <w:rFonts w:ascii="Arial" w:hAnsi="Arial" w:cs="Arial"/>
                <w:b/>
                <w:bCs/>
                <w:lang w:val="cs-CZ" w:eastAsia="cs-CZ"/>
              </w:rPr>
            </w:pPr>
            <w:r w:rsidRPr="00AB08F9">
              <w:rPr>
                <w:rFonts w:ascii="Arial" w:hAnsi="Arial" w:cs="Arial"/>
                <w:b/>
                <w:bCs/>
                <w:sz w:val="20"/>
              </w:rPr>
              <w:t xml:space="preserve">Právny základ spracúvania osobných údajov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CECF" w14:textId="77777777" w:rsidR="0076023D" w:rsidRDefault="0076023D" w:rsidP="0076023D">
            <w:pPr>
              <w:rPr>
                <w:rFonts w:ascii="Arial" w:hAnsi="Arial" w:cs="Arial"/>
                <w:sz w:val="18"/>
                <w:szCs w:val="18"/>
              </w:rPr>
            </w:pPr>
            <w:r w:rsidRPr="00AB08F9">
              <w:rPr>
                <w:rFonts w:ascii="Arial" w:hAnsi="Arial" w:cs="Arial"/>
                <w:sz w:val="20"/>
                <w:szCs w:val="18"/>
              </w:rPr>
              <w:t>Ustanovenie čl. 6 ods. 1 písm. b) Nariadenia GDPR – spracúvanie je nevyhnutné na plnenie zmluvy, ktorej zmluvnou stranou je dotknutá osoba, alebo aby sa na základe žiadosti dotknutej osoby vykonali opatrenia pred uzatvorením zmluvy.</w:t>
            </w:r>
            <w:r w:rsidRPr="00AB08F9">
              <w:rPr>
                <w:rFonts w:ascii="Arial" w:hAnsi="Arial" w:cs="Arial"/>
                <w:sz w:val="20"/>
                <w:szCs w:val="18"/>
              </w:rPr>
              <w:br/>
              <w:t>Zmluvy s právnickými osobami: spracúvanie je nevyhnutné na účely oprávnených záujmov, ktoré sleduje prevádzkovateľ.</w:t>
            </w:r>
          </w:p>
        </w:tc>
      </w:tr>
      <w:tr w:rsidR="00EB42A7" w:rsidRPr="008A2EC8" w14:paraId="63FAB967" w14:textId="77777777" w:rsidTr="0057785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076B8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Okruh dotknutých osôb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743A3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Zmluvní partneri prevádzkovateľa (okrem zákazníkov), samostatne zárobkovo činné osoby a osoby konajúce v mene zmluvných partnerov.</w:t>
            </w:r>
          </w:p>
        </w:tc>
      </w:tr>
      <w:tr w:rsidR="00EB42A7" w:rsidRPr="008A2EC8" w14:paraId="36E59BE2" w14:textId="77777777" w:rsidTr="0057785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7818E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osobných údajov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1F5F5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Meno, priezvisko,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obchodné údaje,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názov a sídlo.</w:t>
            </w:r>
          </w:p>
        </w:tc>
      </w:tr>
      <w:tr w:rsidR="00EB42A7" w:rsidRPr="008A2EC8" w14:paraId="2DC3F4D1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9A0BD0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Spracúvanie sprostredkovateľom v mene prevádzkovateľa</w:t>
            </w:r>
          </w:p>
        </w:tc>
      </w:tr>
      <w:tr w:rsidR="00EB42A7" w:rsidRPr="008A2EC8" w14:paraId="25559F70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3CFF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Činnosti spracúvania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F037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sprostredkovateľov</w:t>
            </w:r>
          </w:p>
        </w:tc>
      </w:tr>
      <w:tr w:rsidR="00EB42A7" w:rsidRPr="008A2EC8" w14:paraId="35404C4C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3D2D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Právne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CC6B7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advokátska kancelária, zmluvný dodávateľ služieb</w:t>
            </w:r>
          </w:p>
        </w:tc>
      </w:tr>
      <w:tr w:rsidR="00EB42A7" w:rsidRPr="008A2EC8" w14:paraId="07108846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BBD613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Poskytovanie osobných údajov</w:t>
            </w:r>
          </w:p>
        </w:tc>
      </w:tr>
      <w:tr w:rsidR="00EB42A7" w:rsidRPr="008A2EC8" w14:paraId="200EA8DF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8922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príjemcov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C1998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Právny základ</w:t>
            </w:r>
          </w:p>
        </w:tc>
      </w:tr>
      <w:tr w:rsidR="00EB42A7" w:rsidRPr="008A2EC8" w14:paraId="72985E47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145E1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Súdy, exekútori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2C4E5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Obchodný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Občiansky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Civilný sporový poriadok</w:t>
            </w:r>
          </w:p>
        </w:tc>
      </w:tr>
      <w:tr w:rsidR="00EB42A7" w:rsidRPr="008A2EC8" w14:paraId="300234BB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5C8D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Orgány činné v trestnom konaní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7EF40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Trestný zákonník</w:t>
            </w:r>
          </w:p>
        </w:tc>
      </w:tr>
      <w:tr w:rsidR="00EB42A7" w:rsidRPr="008A2EC8" w14:paraId="25A73259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DB28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lehoty na vymazanie osobných údajov</w:t>
            </w:r>
          </w:p>
        </w:tc>
      </w:tr>
      <w:tr w:rsidR="00EB42A7" w:rsidRPr="008A2EC8" w14:paraId="1E344E7B" w14:textId="77777777" w:rsidTr="00577853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34E7C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6AFD5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Lehota /</w:t>
            </w: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Právny základ</w:t>
            </w:r>
          </w:p>
        </w:tc>
      </w:tr>
      <w:tr w:rsidR="00EB42A7" w:rsidRPr="008A2EC8" w14:paraId="7B85FA55" w14:textId="77777777" w:rsidTr="00577853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37ED4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kontaktné údaje fyzických osôb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5630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 xml:space="preserve">4 roky / 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Ustanovenie § 397 Obchodného zákonníka (fyzické osoby – podnikatelia, fyzické osoby konajúce v mene právnických osôb)</w:t>
            </w:r>
          </w:p>
        </w:tc>
      </w:tr>
      <w:tr w:rsidR="00EB42A7" w:rsidRPr="008A2EC8" w14:paraId="1B2E7182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17E72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informácie o obchodných prípadoch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CC716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10 rokov /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zákon o dani z príjmov, zákon o dani z pridanej hodnoty</w:t>
            </w:r>
          </w:p>
        </w:tc>
      </w:tr>
    </w:tbl>
    <w:p w14:paraId="5FC54BE3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2EFD1E21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F6B354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114A51F8" w14:textId="76B6E6FC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2"/>
        <w:gridCol w:w="6079"/>
      </w:tblGrid>
      <w:tr w:rsidR="00EB42A7" w:rsidRPr="000A15A0" w14:paraId="440F0AE2" w14:textId="77777777" w:rsidTr="00022387">
        <w:trPr>
          <w:trHeight w:val="405"/>
          <w:tblCellSpacing w:w="0" w:type="dxa"/>
        </w:trPr>
        <w:tc>
          <w:tcPr>
            <w:tcW w:w="10236" w:type="dxa"/>
            <w:gridSpan w:val="3"/>
            <w:hideMark/>
          </w:tcPr>
          <w:p w14:paraId="6B375043" w14:textId="1737B39F" w:rsidR="00EB42A7" w:rsidRPr="000A15A0" w:rsidRDefault="00E04351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KALDOREAL 1</w:t>
            </w:r>
            <w:r w:rsidR="007654D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7654D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s.r.o</w:t>
            </w:r>
            <w:proofErr w:type="spellEnd"/>
            <w:r w:rsidR="007654D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EB42A7" w:rsidRPr="000A15A0" w14:paraId="69874F9A" w14:textId="77777777" w:rsidTr="00022387">
        <w:trPr>
          <w:trHeight w:val="255"/>
          <w:tblCellSpacing w:w="0" w:type="dxa"/>
        </w:trPr>
        <w:tc>
          <w:tcPr>
            <w:tcW w:w="0" w:type="auto"/>
            <w:gridSpan w:val="3"/>
            <w:hideMark/>
          </w:tcPr>
          <w:p w14:paraId="1021535A" w14:textId="77777777" w:rsidR="00EB42A7" w:rsidRPr="000A15A0" w:rsidRDefault="00EB42A7" w:rsidP="000223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0A15A0" w14:paraId="007FB378" w14:textId="77777777" w:rsidTr="00022387">
        <w:trPr>
          <w:trHeight w:val="750"/>
          <w:tblCellSpacing w:w="0" w:type="dxa"/>
        </w:trPr>
        <w:tc>
          <w:tcPr>
            <w:tcW w:w="0" w:type="auto"/>
            <w:gridSpan w:val="3"/>
            <w:hideMark/>
          </w:tcPr>
          <w:p w14:paraId="0705B1B9" w14:textId="77777777" w:rsidR="00EB42A7" w:rsidRPr="000A15A0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t>Príloha informácie poskytovanej dotknutým osobám,</w:t>
            </w:r>
            <w:r w:rsidRPr="000A15A0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br/>
              <w:t>ak osobné údaje neboli získané od dotknutej osoby</w:t>
            </w:r>
          </w:p>
        </w:tc>
      </w:tr>
      <w:tr w:rsidR="00EB42A7" w:rsidRPr="000A15A0" w14:paraId="39F0355A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hideMark/>
          </w:tcPr>
          <w:p w14:paraId="3E14AAFB" w14:textId="77777777" w:rsidR="00EB42A7" w:rsidRPr="000A15A0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4586"/>
                <w:sz w:val="24"/>
                <w:szCs w:val="24"/>
              </w:rPr>
              <w:t>podľa čl. 14 Nariadenia GDPR</w:t>
            </w:r>
          </w:p>
        </w:tc>
      </w:tr>
      <w:tr w:rsidR="00EB42A7" w:rsidRPr="000A15A0" w14:paraId="3D424828" w14:textId="77777777" w:rsidTr="00022387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4F3B9EA7" w14:textId="77777777" w:rsidR="00EB42A7" w:rsidRPr="000A15A0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0A15A0" w14:paraId="20E0AF1A" w14:textId="77777777" w:rsidTr="00022387">
        <w:trPr>
          <w:trHeight w:val="285"/>
          <w:tblCellSpacing w:w="0" w:type="dxa"/>
        </w:trPr>
        <w:tc>
          <w:tcPr>
            <w:tcW w:w="0" w:type="auto"/>
            <w:hideMark/>
          </w:tcPr>
          <w:p w14:paraId="32D6F80E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6FC8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3109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0A15A0" w14:paraId="611390C8" w14:textId="77777777" w:rsidTr="00022387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66AA330A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>Okruh dotknutých osôb: zmluvní partneri prevádzkovateľa, zákazníci prevádzkovateľa, potenciálni zákazníci prevádzkovateľa, osoby vstupujúce do priestorov prevádzkovateľa, osoby, ktorých údaje boli zaznamenané kamerovým systémom</w:t>
            </w:r>
          </w:p>
          <w:p w14:paraId="2A74E21F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</w:pPr>
          </w:p>
        </w:tc>
      </w:tr>
      <w:tr w:rsidR="00EB42A7" w:rsidRPr="000A15A0" w14:paraId="721E0A6C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3A7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Žiadosti dotknutých osôb</w:t>
            </w:r>
          </w:p>
        </w:tc>
      </w:tr>
      <w:tr w:rsidR="00EB42A7" w:rsidRPr="000A15A0" w14:paraId="6647A754" w14:textId="77777777" w:rsidTr="00577853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2C29B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 spracúvania osobných údajov a oprávnený záujem prevádzkovateľa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0610B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Evidencia žiadostí a podnetov dotknutých osôb – žiadosti o prístup, o opravu, o vymazanie a o obmedzenie spracúvania, požiadavky na poskytnutie údajov na prenesenie, námietky voči spracúvaniu osobných údajov.</w:t>
            </w:r>
          </w:p>
        </w:tc>
      </w:tr>
      <w:tr w:rsidR="00297ED3" w:rsidRPr="000A15A0" w14:paraId="5AEF3196" w14:textId="77777777" w:rsidTr="00577853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3487" w14:textId="77777777" w:rsidR="00297ED3" w:rsidRDefault="00297ED3" w:rsidP="00577853">
            <w:pPr>
              <w:rPr>
                <w:rFonts w:ascii="Arial" w:hAnsi="Arial" w:cs="Arial"/>
                <w:b/>
                <w:bCs/>
                <w:lang w:val="cs-CZ" w:eastAsia="cs-CZ"/>
              </w:rPr>
            </w:pPr>
            <w:r w:rsidRPr="00AB08F9">
              <w:rPr>
                <w:rFonts w:ascii="Arial" w:hAnsi="Arial" w:cs="Arial"/>
                <w:b/>
                <w:bCs/>
                <w:sz w:val="20"/>
              </w:rPr>
              <w:t xml:space="preserve">Právny základ spracúvania osobných údajov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B1848" w14:textId="77777777" w:rsidR="00297ED3" w:rsidRDefault="00297ED3" w:rsidP="00577853">
            <w:pPr>
              <w:rPr>
                <w:rFonts w:ascii="Arial" w:hAnsi="Arial" w:cs="Arial"/>
                <w:sz w:val="18"/>
                <w:szCs w:val="18"/>
              </w:rPr>
            </w:pPr>
            <w:r w:rsidRPr="00AB08F9">
              <w:rPr>
                <w:rFonts w:ascii="Arial" w:hAnsi="Arial" w:cs="Arial"/>
                <w:sz w:val="20"/>
                <w:szCs w:val="18"/>
              </w:rPr>
              <w:t>Ustanovenie čl. 6 ods. 1 písm. f) Nariadenia GDPR, recitál (47) preambuly Nariadenia GDPR – spracúvanie je nevyhnutné na účely oprávnených záujmov, ktoré sleduje prevádzkovateľ.</w:t>
            </w:r>
          </w:p>
        </w:tc>
      </w:tr>
      <w:tr w:rsidR="00EB42A7" w:rsidRPr="000A15A0" w14:paraId="192CECD1" w14:textId="77777777" w:rsidTr="00577853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E2082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Okruh dotknutých osôb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1ECF9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Osoby, ktoré podávajú žiadosti o prístup, o opravu, o vymazanie a o obmedzenie spracúvania, požiadavky na poskytnutie údajov na prenesenie, námietky v</w:t>
            </w:r>
            <w:r w:rsidR="00E252BB">
              <w:rPr>
                <w:rFonts w:ascii="Arial" w:hAnsi="Arial" w:cs="Arial"/>
                <w:color w:val="000000"/>
                <w:sz w:val="20"/>
                <w:szCs w:val="20"/>
              </w:rPr>
              <w:t>oči spracúvaniu osobných údajov</w:t>
            </w:r>
          </w:p>
        </w:tc>
      </w:tr>
      <w:tr w:rsidR="00EB42A7" w:rsidRPr="000A15A0" w14:paraId="678C5CB9" w14:textId="77777777" w:rsidTr="0057785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5D807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osobných údajov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D7709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Meno, priezvisko, adresa trvalého bydliska alebo doručovacia adresa.</w:t>
            </w:r>
          </w:p>
        </w:tc>
      </w:tr>
      <w:tr w:rsidR="00EB42A7" w:rsidRPr="000A15A0" w14:paraId="1375B63A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CE17DA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Spracúvanie sprostredkovateľom v mene prevádzkovateľa</w:t>
            </w:r>
          </w:p>
        </w:tc>
      </w:tr>
      <w:tr w:rsidR="00EB42A7" w:rsidRPr="000A15A0" w14:paraId="3195D2A2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C931B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Činnosti spracúvania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449F4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sprostredkovateľov</w:t>
            </w:r>
          </w:p>
        </w:tc>
      </w:tr>
      <w:tr w:rsidR="00EB42A7" w:rsidRPr="000A15A0" w14:paraId="21CF62F1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E6525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Právne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B238B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advokátske kancelárie</w:t>
            </w:r>
          </w:p>
        </w:tc>
      </w:tr>
      <w:tr w:rsidR="00EB42A7" w:rsidRPr="000A15A0" w14:paraId="7FD85EE4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36A0E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Poskytovanie osobných údajov</w:t>
            </w:r>
          </w:p>
        </w:tc>
      </w:tr>
      <w:tr w:rsidR="00EB42A7" w:rsidRPr="000A15A0" w14:paraId="2273909E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D5FCB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príjemcov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0B81A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Právny základ</w:t>
            </w:r>
          </w:p>
        </w:tc>
      </w:tr>
      <w:tr w:rsidR="00EB42A7" w:rsidRPr="000A15A0" w14:paraId="484355FB" w14:textId="77777777" w:rsidTr="00577853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FC8B4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Súdy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369EC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Občiansky zákonník,</w:t>
            </w: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br/>
              <w:t>Civilný sporový poriadok</w:t>
            </w:r>
          </w:p>
        </w:tc>
      </w:tr>
      <w:tr w:rsidR="00EB42A7" w:rsidRPr="000A15A0" w14:paraId="56895CEA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65074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lehoty na vymazanie osobných údajov</w:t>
            </w:r>
          </w:p>
        </w:tc>
      </w:tr>
      <w:tr w:rsidR="00EB42A7" w:rsidRPr="000A15A0" w14:paraId="17779D68" w14:textId="77777777" w:rsidTr="00577853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E50A0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7FF3E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Lehota /</w:t>
            </w: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Právny základ</w:t>
            </w:r>
          </w:p>
        </w:tc>
      </w:tr>
      <w:tr w:rsidR="00EB42A7" w:rsidRPr="000A15A0" w14:paraId="55FC56DE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E54E1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všetky spracúvané údaje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B1B20" w14:textId="77777777" w:rsidR="00EB42A7" w:rsidRPr="000A15A0" w:rsidRDefault="00EB42A7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 xml:space="preserve">3 roky / </w:t>
            </w: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br/>
              <w:t>Ustanovenie § 100 Občianskeho zákonníka (fyzické osoby – spotrebitelia)</w:t>
            </w:r>
          </w:p>
        </w:tc>
      </w:tr>
    </w:tbl>
    <w:p w14:paraId="4C9D5DFC" w14:textId="77777777" w:rsidR="00EB42A7" w:rsidRPr="00DA51AF" w:rsidRDefault="00EB42A7" w:rsidP="00577853">
      <w:pPr>
        <w:spacing w:after="0"/>
        <w:rPr>
          <w:rFonts w:ascii="Arial" w:hAnsi="Arial" w:cs="Arial"/>
          <w:sz w:val="20"/>
          <w:szCs w:val="20"/>
        </w:rPr>
      </w:pPr>
    </w:p>
    <w:p w14:paraId="4C2B767F" w14:textId="77777777" w:rsidR="00EB42A7" w:rsidRDefault="00EB42A7" w:rsidP="00577853">
      <w:pPr>
        <w:spacing w:after="0"/>
        <w:rPr>
          <w:rFonts w:ascii="Arial" w:hAnsi="Arial" w:cs="Arial"/>
          <w:sz w:val="20"/>
          <w:szCs w:val="20"/>
        </w:rPr>
      </w:pPr>
    </w:p>
    <w:p w14:paraId="3A6DB9D5" w14:textId="77777777" w:rsidR="00563DDF" w:rsidRDefault="00563DDF" w:rsidP="00577853">
      <w:pPr>
        <w:spacing w:after="0"/>
        <w:rPr>
          <w:rFonts w:ascii="Arial" w:hAnsi="Arial" w:cs="Arial"/>
          <w:sz w:val="20"/>
          <w:szCs w:val="20"/>
        </w:rPr>
      </w:pPr>
    </w:p>
    <w:p w14:paraId="1E7EF619" w14:textId="2CF84946" w:rsidR="00563DDF" w:rsidRDefault="00563DDF" w:rsidP="00577853">
      <w:pPr>
        <w:spacing w:after="0"/>
        <w:rPr>
          <w:rFonts w:ascii="Arial" w:hAnsi="Arial" w:cs="Arial"/>
          <w:sz w:val="20"/>
          <w:szCs w:val="20"/>
        </w:rPr>
      </w:pPr>
    </w:p>
    <w:p w14:paraId="4C1FC065" w14:textId="7924C4D8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12A090BA" w14:textId="34DCE598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1960D0A3" w14:textId="3230BD94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12E5B1BB" w14:textId="10E01A0B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0053D9F0" w14:textId="2BDC79AC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443478C7" w14:textId="2C0A427C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20A560DF" w14:textId="03820BFB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2F123BCE" w14:textId="698D1A56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p w14:paraId="6538408A" w14:textId="3A10CC2B" w:rsidR="00BE38EE" w:rsidRDefault="00BE38EE" w:rsidP="005778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5"/>
        <w:gridCol w:w="7084"/>
      </w:tblGrid>
      <w:tr w:rsidR="00BE38EE" w:rsidRPr="008A2EC8" w14:paraId="4BA836D1" w14:textId="77777777" w:rsidTr="00362A1F">
        <w:trPr>
          <w:trHeight w:val="405"/>
          <w:tblCellSpacing w:w="0" w:type="dxa"/>
        </w:trPr>
        <w:tc>
          <w:tcPr>
            <w:tcW w:w="10236" w:type="dxa"/>
            <w:gridSpan w:val="3"/>
            <w:hideMark/>
          </w:tcPr>
          <w:p w14:paraId="7FD28E40" w14:textId="6F8C708B" w:rsidR="00BE38EE" w:rsidRPr="008A2EC8" w:rsidRDefault="00BE38EE" w:rsidP="005778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 xml:space="preserve">KALDOREAL 1,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.</w:t>
            </w:r>
          </w:p>
        </w:tc>
      </w:tr>
      <w:tr w:rsidR="00BE38EE" w:rsidRPr="008A2EC8" w14:paraId="6C5C9548" w14:textId="77777777" w:rsidTr="00362A1F">
        <w:trPr>
          <w:trHeight w:val="255"/>
          <w:tblCellSpacing w:w="0" w:type="dxa"/>
        </w:trPr>
        <w:tc>
          <w:tcPr>
            <w:tcW w:w="0" w:type="auto"/>
            <w:gridSpan w:val="3"/>
            <w:hideMark/>
          </w:tcPr>
          <w:p w14:paraId="0F4BDCA6" w14:textId="77777777" w:rsidR="00BE38EE" w:rsidRPr="008A2EC8" w:rsidRDefault="00BE38EE" w:rsidP="0057785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8EE" w:rsidRPr="008A2EC8" w14:paraId="13F43F9A" w14:textId="77777777" w:rsidTr="00362A1F">
        <w:trPr>
          <w:trHeight w:val="750"/>
          <w:tblCellSpacing w:w="0" w:type="dxa"/>
        </w:trPr>
        <w:tc>
          <w:tcPr>
            <w:tcW w:w="0" w:type="auto"/>
            <w:gridSpan w:val="3"/>
            <w:hideMark/>
          </w:tcPr>
          <w:p w14:paraId="36D7E836" w14:textId="77777777" w:rsidR="00BE38EE" w:rsidRPr="008A2EC8" w:rsidRDefault="00BE38EE" w:rsidP="005778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t>Príloha informácie poskytovanej dotknutým osobám,</w:t>
            </w: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br/>
              <w:t>ak osobné údaje neboli získané od dotknutej osoby</w:t>
            </w:r>
          </w:p>
        </w:tc>
      </w:tr>
      <w:tr w:rsidR="00BE38EE" w:rsidRPr="008A2EC8" w14:paraId="48D9F5C5" w14:textId="77777777" w:rsidTr="00362A1F">
        <w:trPr>
          <w:trHeight w:val="330"/>
          <w:tblCellSpacing w:w="0" w:type="dxa"/>
        </w:trPr>
        <w:tc>
          <w:tcPr>
            <w:tcW w:w="0" w:type="auto"/>
            <w:gridSpan w:val="3"/>
            <w:hideMark/>
          </w:tcPr>
          <w:p w14:paraId="1C38C493" w14:textId="77777777" w:rsidR="00BE38EE" w:rsidRPr="008A2EC8" w:rsidRDefault="00BE38EE" w:rsidP="005778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4586"/>
                <w:sz w:val="24"/>
                <w:szCs w:val="24"/>
              </w:rPr>
              <w:t>podľa čl. 14 Nariadenia GDPR</w:t>
            </w:r>
          </w:p>
        </w:tc>
      </w:tr>
      <w:tr w:rsidR="00BE38EE" w:rsidRPr="008A2EC8" w14:paraId="2E7A467A" w14:textId="77777777" w:rsidTr="00362A1F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6CB67382" w14:textId="77777777" w:rsidR="00BE38EE" w:rsidRPr="008A2EC8" w:rsidRDefault="00BE38EE" w:rsidP="005778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8EE" w:rsidRPr="008A2EC8" w14:paraId="0FCD2136" w14:textId="77777777" w:rsidTr="00362A1F">
        <w:trPr>
          <w:trHeight w:val="285"/>
          <w:tblCellSpacing w:w="0" w:type="dxa"/>
        </w:trPr>
        <w:tc>
          <w:tcPr>
            <w:tcW w:w="0" w:type="auto"/>
            <w:gridSpan w:val="3"/>
            <w:hideMark/>
          </w:tcPr>
          <w:p w14:paraId="23EE80BA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 xml:space="preserve">Okruh dotknutých osôb: </w:t>
            </w:r>
            <w:r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>zákazníci (klienti)</w:t>
            </w:r>
            <w:r w:rsidRPr="008A2EC8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 xml:space="preserve"> prevádzkovateľa</w:t>
            </w:r>
          </w:p>
        </w:tc>
      </w:tr>
      <w:tr w:rsidR="00BE38EE" w:rsidRPr="008A2EC8" w14:paraId="75A9B03C" w14:textId="77777777" w:rsidTr="00362A1F">
        <w:trPr>
          <w:trHeight w:val="285"/>
          <w:tblCellSpacing w:w="0" w:type="dxa"/>
        </w:trPr>
        <w:tc>
          <w:tcPr>
            <w:tcW w:w="0" w:type="auto"/>
          </w:tcPr>
          <w:p w14:paraId="4B7FCC97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D88AA3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4B3129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8EE" w:rsidRPr="008A2EC8" w14:paraId="2B9ABDDF" w14:textId="77777777" w:rsidTr="00362A1F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D7F0" w14:textId="77777777" w:rsidR="00BE38EE" w:rsidRPr="00A525C2" w:rsidRDefault="00BE38EE" w:rsidP="005778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25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Evidencia zákazníkov pre účely sprostredkovanie kúpy, predaja a prenájmu nehnuteľností</w:t>
            </w:r>
          </w:p>
        </w:tc>
      </w:tr>
      <w:tr w:rsidR="00BE38EE" w:rsidRPr="008A2EC8" w14:paraId="481F961C" w14:textId="77777777" w:rsidTr="0057785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2E9E1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 spracúvania osobných údajov a oprávnený záujem prevádzkovateľa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33CB8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Evidencia zákazníkov pre účely sprostredkovanie kúpy, predaja a prenájmu nehnuteľností</w:t>
            </w:r>
          </w:p>
          <w:p w14:paraId="26BD52D6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8EE" w:rsidRPr="008A2EC8" w14:paraId="41439A6C" w14:textId="77777777" w:rsidTr="0057785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E9D1D" w14:textId="77777777" w:rsidR="00BE38EE" w:rsidRDefault="00BE38EE" w:rsidP="00577853">
            <w:pPr>
              <w:rPr>
                <w:rFonts w:ascii="Arial" w:hAnsi="Arial" w:cs="Arial"/>
                <w:b/>
                <w:bCs/>
                <w:lang w:val="cs-CZ" w:eastAsia="cs-CZ"/>
              </w:rPr>
            </w:pPr>
            <w:r w:rsidRPr="00AB08F9">
              <w:rPr>
                <w:rFonts w:ascii="Arial" w:hAnsi="Arial" w:cs="Arial"/>
                <w:b/>
                <w:bCs/>
                <w:sz w:val="20"/>
              </w:rPr>
              <w:t xml:space="preserve">Právny základ spracúvania osobných údajov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E65C8" w14:textId="77777777" w:rsidR="00BE38EE" w:rsidRDefault="00BE38EE" w:rsidP="00577853">
            <w:pPr>
              <w:rPr>
                <w:rFonts w:ascii="Arial" w:hAnsi="Arial" w:cs="Arial"/>
                <w:sz w:val="18"/>
                <w:szCs w:val="18"/>
              </w:rPr>
            </w:pPr>
            <w:r w:rsidRPr="00AB08F9">
              <w:rPr>
                <w:rFonts w:ascii="Arial" w:hAnsi="Arial" w:cs="Arial"/>
                <w:sz w:val="20"/>
                <w:szCs w:val="18"/>
              </w:rPr>
              <w:t>Ustanovenie čl. 6 ods. 1 písm. b) Nariadenia GDPR – spracúvanie je nevyhnutné na plnenie zmluvy, ktorej zmluvnou stranou je dotknutá osoba, alebo aby sa na základe žiadosti dotknutej osoby vykonali opatrenia pred uzatvorením zmluvy.</w:t>
            </w:r>
          </w:p>
        </w:tc>
      </w:tr>
      <w:tr w:rsidR="00BE38EE" w:rsidRPr="008A2EC8" w14:paraId="221EE321" w14:textId="77777777" w:rsidTr="0057785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8093C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Okruh dotknutých osôb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72121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luvní partneri prevádzkovateľa, </w:t>
            </w:r>
            <w:r w:rsidRPr="00F769AB">
              <w:rPr>
                <w:rFonts w:ascii="Arial" w:hAnsi="Arial" w:cs="Arial"/>
                <w:color w:val="000000" w:themeColor="text1"/>
                <w:sz w:val="20"/>
                <w:szCs w:val="20"/>
              </w:rPr>
              <w:t>zákazníci (klienti) prevádzkovateľa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, osoby konajúce v mene zmluvných partnerov.</w:t>
            </w:r>
          </w:p>
        </w:tc>
      </w:tr>
      <w:tr w:rsidR="00BE38EE" w:rsidRPr="008A2EC8" w14:paraId="3532C428" w14:textId="77777777" w:rsidTr="0057785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C314C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osobných údajov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BEEF4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Meno, priezvisko, titul</w:t>
            </w:r>
          </w:p>
          <w:p w14:paraId="0A0ABEEA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dátum narodenia,</w:t>
            </w:r>
          </w:p>
          <w:p w14:paraId="594ADA4B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 xml:space="preserve">bydlisko, </w:t>
            </w:r>
          </w:p>
          <w:p w14:paraId="27A54D6F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rodné číslo,</w:t>
            </w:r>
          </w:p>
          <w:p w14:paraId="0B985B2B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tel. kontakt, email</w:t>
            </w:r>
          </w:p>
          <w:p w14:paraId="6EEE2ACE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obchodné údaje,</w:t>
            </w:r>
          </w:p>
          <w:p w14:paraId="41ED04CA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číslo občianskeho preukazu</w:t>
            </w:r>
          </w:p>
          <w:p w14:paraId="3CDD9F36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číslo bankového účtu</w:t>
            </w:r>
          </w:p>
          <w:p w14:paraId="1D31AEB0" w14:textId="77777777" w:rsidR="00BE38EE" w:rsidRPr="003D2C3B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fotografia nehnuteľnosti</w:t>
            </w:r>
          </w:p>
          <w:p w14:paraId="16076823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názov a sídlo, resp. iné</w:t>
            </w:r>
          </w:p>
        </w:tc>
      </w:tr>
      <w:tr w:rsidR="00BE38EE" w:rsidRPr="008A2EC8" w14:paraId="3842EDCE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9C0A45" w14:textId="77777777" w:rsidR="00BE38EE" w:rsidRPr="00A525C2" w:rsidRDefault="00BE38EE" w:rsidP="005778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25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Spracúvanie sprostredkovateľom v mene prevádzkovateľa</w:t>
            </w:r>
          </w:p>
        </w:tc>
      </w:tr>
      <w:tr w:rsidR="00BE38EE" w:rsidRPr="008A2EC8" w14:paraId="5609E6DB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9D1AC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Činnosti spracúvania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DAB85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sprostredkovateľov</w:t>
            </w:r>
          </w:p>
        </w:tc>
      </w:tr>
      <w:tr w:rsidR="00F769AB" w:rsidRPr="00F769AB" w14:paraId="19BCBE93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A3BB8" w14:textId="77777777" w:rsidR="00BE38EE" w:rsidRPr="00F769AB" w:rsidRDefault="00BE38EE" w:rsidP="0057785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7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Činnosti realitného makléra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1EBB8" w14:textId="77777777" w:rsidR="00BE38EE" w:rsidRPr="00F769AB" w:rsidRDefault="00BE38EE" w:rsidP="00577853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769A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Makléri prevádzkovateľa</w:t>
            </w:r>
          </w:p>
        </w:tc>
      </w:tr>
      <w:tr w:rsidR="00BE38EE" w:rsidRPr="008A2EC8" w14:paraId="2A101AAF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C0E0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Vedenie účtovníctva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F4968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zmluvný dodávateľ služby</w:t>
            </w:r>
          </w:p>
        </w:tc>
      </w:tr>
      <w:tr w:rsidR="00BE38EE" w:rsidRPr="008A2EC8" w14:paraId="2C5BCB9A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C87D0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Právne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3010B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advokátska kancelária, zmluvný dodávateľ služieb</w:t>
            </w:r>
          </w:p>
        </w:tc>
      </w:tr>
      <w:tr w:rsidR="00BE38EE" w:rsidRPr="008A2EC8" w14:paraId="5A65CC0B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9EAD28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Poskytovanie osobných údajov</w:t>
            </w:r>
          </w:p>
        </w:tc>
      </w:tr>
      <w:tr w:rsidR="00BE38EE" w:rsidRPr="008A2EC8" w14:paraId="482872A4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1AD26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príjemcov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C348A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Právny základ</w:t>
            </w:r>
          </w:p>
        </w:tc>
      </w:tr>
      <w:tr w:rsidR="00BE38EE" w:rsidRPr="008A2EC8" w14:paraId="2314C183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2D59E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Súdy, exekútori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9F8A6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Obchodný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Občiansky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Civilný sporový poriadok</w:t>
            </w:r>
          </w:p>
        </w:tc>
      </w:tr>
      <w:tr w:rsidR="00BE38EE" w:rsidRPr="008A2EC8" w14:paraId="5E13B162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083D2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Banky, finančné inštitúcie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0933" w14:textId="77777777" w:rsidR="00BE38EE" w:rsidRPr="008A2EC8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bankách</w:t>
            </w:r>
          </w:p>
        </w:tc>
      </w:tr>
      <w:tr w:rsidR="00BE38EE" w:rsidRPr="008A2EC8" w14:paraId="74204BC5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8DDDC" w14:textId="77777777" w:rsidR="00BE38EE" w:rsidRPr="00354C54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Kataster nehnuteľností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411EC" w14:textId="77777777" w:rsidR="00BE38EE" w:rsidRPr="00354C54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katastri nehnuteľností</w:t>
            </w:r>
          </w:p>
        </w:tc>
      </w:tr>
      <w:tr w:rsidR="00BE38EE" w:rsidRPr="008A2EC8" w14:paraId="47981501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7B7E3" w14:textId="77777777" w:rsidR="00BE38EE" w:rsidRPr="00354C54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Notári, advokáti, právni zástupcovia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6387C" w14:textId="77777777" w:rsidR="00BE38EE" w:rsidRPr="00354C54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notároch a notárskej činnosti</w:t>
            </w:r>
          </w:p>
          <w:p w14:paraId="7251CFA6" w14:textId="77777777" w:rsidR="00BE38EE" w:rsidRPr="00354C54" w:rsidRDefault="00BE38EE" w:rsidP="005778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advokácii</w:t>
            </w:r>
          </w:p>
        </w:tc>
      </w:tr>
      <w:tr w:rsidR="00BE38EE" w:rsidRPr="008A2EC8" w14:paraId="67C5DB15" w14:textId="77777777" w:rsidTr="00577853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AB163" w14:textId="77777777" w:rsidR="00BE38EE" w:rsidRPr="008A2EC8" w:rsidRDefault="00BE38EE" w:rsidP="00362A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Orgány činné v trestnom konaní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3FDA2" w14:textId="77777777" w:rsidR="00BE38EE" w:rsidRPr="008A2EC8" w:rsidRDefault="00BE38EE" w:rsidP="00362A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Trestný zákonník</w:t>
            </w:r>
          </w:p>
        </w:tc>
      </w:tr>
      <w:tr w:rsidR="00BE38EE" w:rsidRPr="008A2EC8" w14:paraId="46738DDB" w14:textId="77777777" w:rsidTr="0057785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72AD6A" w14:textId="77777777" w:rsidR="00BE38EE" w:rsidRPr="008A2EC8" w:rsidRDefault="00BE38EE" w:rsidP="00362A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lehoty na vymazanie osobných údajov</w:t>
            </w:r>
          </w:p>
        </w:tc>
      </w:tr>
      <w:tr w:rsidR="00BE38EE" w:rsidRPr="008A2EC8" w14:paraId="7DA85A0F" w14:textId="77777777" w:rsidTr="00577853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5D5EF" w14:textId="77777777" w:rsidR="00BE38EE" w:rsidRPr="008A2EC8" w:rsidRDefault="00BE38EE" w:rsidP="00362A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D27B1" w14:textId="77777777" w:rsidR="00BE38EE" w:rsidRPr="008A2EC8" w:rsidRDefault="00BE38EE" w:rsidP="00362A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Lehota /</w:t>
            </w: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Právny základ</w:t>
            </w:r>
          </w:p>
        </w:tc>
      </w:tr>
      <w:tr w:rsidR="00BE38EE" w:rsidRPr="008A2EC8" w14:paraId="6599BE5C" w14:textId="77777777" w:rsidTr="00577853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3EA75" w14:textId="77777777" w:rsidR="00BE38EE" w:rsidRPr="008A2EC8" w:rsidRDefault="00BE38EE" w:rsidP="00362A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kontaktné údaje fyzických osôb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671D4" w14:textId="77777777" w:rsidR="00BE38EE" w:rsidRPr="008A2EC8" w:rsidRDefault="00BE38EE" w:rsidP="00362A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 xml:space="preserve">4 roky / 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Ustanovenie § 397 Obchodného zákonníka (fyzické osoby – podnikatelia, fyzické osoby konajúce v mene právnických osôb)</w:t>
            </w:r>
          </w:p>
        </w:tc>
      </w:tr>
      <w:tr w:rsidR="00BE38EE" w:rsidRPr="008A2EC8" w14:paraId="789310F5" w14:textId="77777777" w:rsidTr="00577853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8C249" w14:textId="77777777" w:rsidR="00BE38EE" w:rsidRPr="00A525C2" w:rsidRDefault="00BE38EE" w:rsidP="00362A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5C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informácie o obchodných prípadoch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255D0" w14:textId="77777777" w:rsidR="00BE38EE" w:rsidRPr="00A525C2" w:rsidRDefault="00BE38EE" w:rsidP="00362A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5C2">
              <w:rPr>
                <w:rFonts w:ascii="Arial" w:hAnsi="Arial" w:cs="Arial"/>
                <w:color w:val="000000" w:themeColor="text1"/>
                <w:sz w:val="20"/>
                <w:szCs w:val="20"/>
              </w:rPr>
              <w:t>10 rokov /</w:t>
            </w:r>
            <w:r w:rsidRPr="00A525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zákon o dani z príjmov, zákon o dani z pridanej hodnoty</w:t>
            </w:r>
          </w:p>
        </w:tc>
      </w:tr>
    </w:tbl>
    <w:p w14:paraId="3CFE85B5" w14:textId="77777777" w:rsidR="00BE38EE" w:rsidRPr="00DA51AF" w:rsidRDefault="00BE38EE" w:rsidP="00BE38EE">
      <w:pPr>
        <w:spacing w:after="0"/>
        <w:rPr>
          <w:rFonts w:ascii="Arial" w:hAnsi="Arial" w:cs="Arial"/>
          <w:sz w:val="20"/>
          <w:szCs w:val="20"/>
        </w:rPr>
      </w:pPr>
    </w:p>
    <w:p w14:paraId="317565E3" w14:textId="77777777" w:rsidR="00BE38EE" w:rsidRPr="00DA51AF" w:rsidRDefault="00BE38EE" w:rsidP="00DA51AF">
      <w:pPr>
        <w:spacing w:after="0"/>
        <w:rPr>
          <w:rFonts w:ascii="Arial" w:hAnsi="Arial" w:cs="Arial"/>
          <w:sz w:val="20"/>
          <w:szCs w:val="20"/>
        </w:rPr>
      </w:pPr>
    </w:p>
    <w:sectPr w:rsidR="00BE38EE" w:rsidRPr="00DA51AF">
      <w:type w:val="continuous"/>
      <w:pgSz w:w="11906" w:h="16838"/>
      <w:pgMar w:top="567" w:right="850" w:bottom="567" w:left="85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82A60" w14:textId="77777777" w:rsidR="00B4039B" w:rsidRDefault="00B4039B">
      <w:pPr>
        <w:spacing w:after="0" w:line="240" w:lineRule="auto"/>
      </w:pPr>
      <w:r>
        <w:separator/>
      </w:r>
    </w:p>
  </w:endnote>
  <w:endnote w:type="continuationSeparator" w:id="0">
    <w:p w14:paraId="0CFDC606" w14:textId="77777777" w:rsidR="00B4039B" w:rsidRDefault="00B4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7E67" w14:textId="77777777" w:rsidR="00B4039B" w:rsidRDefault="00B4039B">
      <w:pPr>
        <w:spacing w:after="0" w:line="240" w:lineRule="auto"/>
      </w:pPr>
      <w:r>
        <w:separator/>
      </w:r>
    </w:p>
  </w:footnote>
  <w:footnote w:type="continuationSeparator" w:id="0">
    <w:p w14:paraId="2579D8B4" w14:textId="77777777" w:rsidR="00B4039B" w:rsidRDefault="00B4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55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715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1075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435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1795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2155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515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2875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3235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55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715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1075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435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1795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2155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515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2875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3235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7EC3E9C"/>
    <w:multiLevelType w:val="multilevel"/>
    <w:tmpl w:val="41F01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3752E0"/>
    <w:multiLevelType w:val="hybridMultilevel"/>
    <w:tmpl w:val="3D8EE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E0"/>
    <w:rsid w:val="00022387"/>
    <w:rsid w:val="0009478A"/>
    <w:rsid w:val="000958D3"/>
    <w:rsid w:val="000A15A0"/>
    <w:rsid w:val="001005C1"/>
    <w:rsid w:val="001848EA"/>
    <w:rsid w:val="00297ED3"/>
    <w:rsid w:val="002D6DF4"/>
    <w:rsid w:val="002D6E08"/>
    <w:rsid w:val="003A0A3E"/>
    <w:rsid w:val="003D3DFF"/>
    <w:rsid w:val="00434C25"/>
    <w:rsid w:val="00445962"/>
    <w:rsid w:val="00563DDF"/>
    <w:rsid w:val="00577853"/>
    <w:rsid w:val="00577A92"/>
    <w:rsid w:val="00583DE0"/>
    <w:rsid w:val="005D2278"/>
    <w:rsid w:val="005F1181"/>
    <w:rsid w:val="006074C0"/>
    <w:rsid w:val="006B6281"/>
    <w:rsid w:val="00711B5E"/>
    <w:rsid w:val="0076023D"/>
    <w:rsid w:val="007654D0"/>
    <w:rsid w:val="00805D4F"/>
    <w:rsid w:val="008A2EC8"/>
    <w:rsid w:val="00903CE3"/>
    <w:rsid w:val="00AB08F9"/>
    <w:rsid w:val="00AB5B80"/>
    <w:rsid w:val="00B2760D"/>
    <w:rsid w:val="00B4039B"/>
    <w:rsid w:val="00BA1A4B"/>
    <w:rsid w:val="00BE38EE"/>
    <w:rsid w:val="00CC2FE7"/>
    <w:rsid w:val="00D46206"/>
    <w:rsid w:val="00D47B7F"/>
    <w:rsid w:val="00D91FD2"/>
    <w:rsid w:val="00DA51AF"/>
    <w:rsid w:val="00DC64DB"/>
    <w:rsid w:val="00E04351"/>
    <w:rsid w:val="00E252BB"/>
    <w:rsid w:val="00E567B4"/>
    <w:rsid w:val="00EB42A7"/>
    <w:rsid w:val="00ED42CD"/>
    <w:rsid w:val="00F1687F"/>
    <w:rsid w:val="00F6360E"/>
    <w:rsid w:val="00F769AB"/>
    <w:rsid w:val="00FC6FB6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D9A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pPr>
      <w:widowControl w:val="0"/>
      <w:autoSpaceDN w:val="0"/>
      <w:adjustRightInd w:val="0"/>
      <w:spacing w:before="170" w:after="57" w:line="240" w:lineRule="auto"/>
    </w:pPr>
    <w:rPr>
      <w:rFonts w:ascii="Arial" w:eastAsia="Times New Roman" w:hAnsi="Times New Roman" w:cs="Arial"/>
      <w:kern w:val="1"/>
      <w:sz w:val="20"/>
      <w:szCs w:val="20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ymbolypreslovanie">
    <w:name w:val="Symboly pre číslovanie"/>
    <w:uiPriority w:val="99"/>
  </w:style>
  <w:style w:type="character" w:customStyle="1" w:styleId="Internetovodkaz">
    <w:name w:val="Internetový odkaz"/>
    <w:uiPriority w:val="99"/>
    <w:rPr>
      <w:color w:val="000080"/>
      <w:u w:val="single"/>
    </w:rPr>
  </w:style>
  <w:style w:type="character" w:customStyle="1" w:styleId="Znakyprepoznmkupodiarou">
    <w:name w:val="Znaky pre poznámku pod čiarou"/>
    <w:uiPriority w:val="99"/>
  </w:style>
  <w:style w:type="character" w:customStyle="1" w:styleId="Ukotveniepoznmkypodiarou">
    <w:name w:val="Ukotvenie poznámky pod čiarou"/>
    <w:uiPriority w:val="99"/>
    <w:rPr>
      <w:position w:val="10"/>
    </w:rPr>
  </w:style>
  <w:style w:type="character" w:customStyle="1" w:styleId="Odrky">
    <w:name w:val="Odrážky"/>
    <w:uiPriority w:val="99"/>
    <w:rPr>
      <w:rFonts w:ascii="OpenSymbol" w:hAnsi="OpenSymbol"/>
    </w:rPr>
  </w:style>
  <w:style w:type="character" w:customStyle="1" w:styleId="Ukotvenievysvetlivky">
    <w:name w:val="Ukotvenie vysvetlivky"/>
    <w:uiPriority w:val="99"/>
    <w:rPr>
      <w:position w:val="10"/>
    </w:rPr>
  </w:style>
  <w:style w:type="character" w:customStyle="1" w:styleId="Znakyprevysvetlivky">
    <w:name w:val="Znaky pre vysvetlivky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autoSpaceDE w:val="0"/>
      <w:spacing w:before="240" w:after="120"/>
    </w:pPr>
    <w:rPr>
      <w:rFonts w:hAnsi="Microsoft YaHei"/>
      <w:sz w:val="28"/>
      <w:szCs w:val="28"/>
      <w:lang w:bidi="ar-SA"/>
    </w:rPr>
  </w:style>
  <w:style w:type="paragraph" w:customStyle="1" w:styleId="Telotextu">
    <w:name w:val="Telo textu"/>
    <w:basedOn w:val="Vchodzie"/>
    <w:uiPriority w:val="99"/>
    <w:pPr>
      <w:autoSpaceDE w:val="0"/>
      <w:spacing w:before="0" w:after="120"/>
    </w:pPr>
    <w:rPr>
      <w:lang w:bidi="ar-SA"/>
    </w:rPr>
  </w:style>
  <w:style w:type="paragraph" w:customStyle="1" w:styleId="Nadpis1">
    <w:name w:val="Nadpis1"/>
    <w:basedOn w:val="Nadpis"/>
    <w:next w:val="Podnadpis"/>
    <w:uiPriority w:val="99"/>
  </w:style>
  <w:style w:type="paragraph" w:customStyle="1" w:styleId="Podnadpis">
    <w:name w:val="Podnadpis"/>
    <w:basedOn w:val="Nadpis"/>
    <w:next w:val="Telotextu"/>
    <w:uiPriority w:val="99"/>
    <w:pPr>
      <w:jc w:val="center"/>
    </w:pPr>
    <w:rPr>
      <w:i/>
      <w:iCs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autoSpaceDE w:val="0"/>
      <w:spacing w:before="120" w:after="120"/>
    </w:pPr>
    <w:rPr>
      <w:i/>
      <w:iCs/>
      <w:lang w:bidi="ar-SA"/>
    </w:rPr>
  </w:style>
  <w:style w:type="paragraph" w:customStyle="1" w:styleId="Index">
    <w:name w:val="Index"/>
    <w:basedOn w:val="Vchodzie"/>
    <w:uiPriority w:val="99"/>
    <w:pPr>
      <w:autoSpaceDE w:val="0"/>
    </w:pPr>
    <w:rPr>
      <w:lang w:bidi="ar-SA"/>
    </w:rPr>
  </w:style>
  <w:style w:type="paragraph" w:customStyle="1" w:styleId="Obsahtabuky">
    <w:name w:val="Obsah tabuľky"/>
    <w:basedOn w:val="Vchodzie"/>
    <w:uiPriority w:val="99"/>
    <w:pPr>
      <w:autoSpaceDE w:val="0"/>
    </w:pPr>
    <w:rPr>
      <w:lang w:bidi="ar-SA"/>
    </w:rPr>
  </w:style>
  <w:style w:type="paragraph" w:customStyle="1" w:styleId="Nadpistabuky">
    <w:name w:val="Nadpis tabuľky"/>
    <w:basedOn w:val="Obsahtabuky"/>
    <w:uiPriority w:val="99"/>
    <w:pPr>
      <w:jc w:val="center"/>
    </w:pPr>
    <w:rPr>
      <w:b/>
      <w:bCs/>
    </w:rPr>
  </w:style>
  <w:style w:type="paragraph" w:customStyle="1" w:styleId="Poznmkapodiarou">
    <w:name w:val="Poznámka pod čiarou"/>
    <w:basedOn w:val="Vchodzie"/>
    <w:uiPriority w:val="99"/>
    <w:pPr>
      <w:suppressLineNumbers/>
      <w:autoSpaceDE w:val="0"/>
      <w:spacing w:before="0" w:after="0"/>
      <w:ind w:left="283" w:hanging="283"/>
    </w:pPr>
    <w:rPr>
      <w:sz w:val="18"/>
      <w:szCs w:val="18"/>
      <w:lang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583DE0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DE0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83D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D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83DE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D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83DE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3DE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D42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D42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D42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D42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2018-06-25T12:37:00Z</dcterms:created>
  <dcterms:modified xsi:type="dcterms:W3CDTF">2018-06-25T12:37:00Z</dcterms:modified>
</cp:coreProperties>
</file>